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48" w:rsidRPr="00BD4348" w:rsidRDefault="00BD4348" w:rsidP="00BD43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348">
        <w:rPr>
          <w:rFonts w:ascii="Times New Roman" w:hAnsi="Times New Roman" w:cs="Times New Roman"/>
          <w:b/>
          <w:sz w:val="28"/>
          <w:szCs w:val="28"/>
        </w:rPr>
        <w:t>АНАЛИЗ ДИАГНОСТИЧЕСКОЙ РАБОТЫ ПО МАТЕМАТИКЕ</w:t>
      </w:r>
    </w:p>
    <w:p w:rsidR="00497342" w:rsidRDefault="00BD4348" w:rsidP="00BD43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348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BD4348" w:rsidRDefault="00BD4348" w:rsidP="00BD4348">
      <w:pPr>
        <w:pStyle w:val="a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4348">
        <w:rPr>
          <w:rFonts w:ascii="Times New Roman" w:hAnsi="Times New Roman" w:cs="Times New Roman"/>
          <w:i/>
          <w:sz w:val="28"/>
          <w:szCs w:val="28"/>
        </w:rPr>
        <w:t>(апрель 2018)</w:t>
      </w:r>
    </w:p>
    <w:tbl>
      <w:tblPr>
        <w:tblStyle w:val="a5"/>
        <w:tblpPr w:leftFromText="180" w:rightFromText="180" w:vertAnchor="page" w:horzAnchor="margin" w:tblpXSpec="center" w:tblpY="2899"/>
        <w:tblW w:w="6500" w:type="dxa"/>
        <w:tblLook w:val="0420" w:firstRow="1" w:lastRow="0" w:firstColumn="0" w:lastColumn="0" w:noHBand="0" w:noVBand="1"/>
      </w:tblPr>
      <w:tblGrid>
        <w:gridCol w:w="3250"/>
        <w:gridCol w:w="3250"/>
      </w:tblGrid>
      <w:tr w:rsidR="00BD4348" w:rsidRPr="00BD4348" w:rsidTr="00EB1068">
        <w:trPr>
          <w:trHeight w:val="325"/>
        </w:trPr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списку</w:t>
            </w:r>
          </w:p>
        </w:tc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870 человек</w:t>
            </w:r>
          </w:p>
        </w:tc>
      </w:tr>
      <w:tr w:rsidR="00BD4348" w:rsidRPr="00BD4348" w:rsidTr="00EB1068">
        <w:trPr>
          <w:trHeight w:val="325"/>
        </w:trPr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 xml:space="preserve">Писали </w:t>
            </w:r>
          </w:p>
        </w:tc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>765 человек</w:t>
            </w:r>
          </w:p>
        </w:tc>
      </w:tr>
      <w:tr w:rsidR="00BD4348" w:rsidRPr="00BD4348" w:rsidTr="00EB1068">
        <w:trPr>
          <w:trHeight w:val="325"/>
        </w:trPr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</w:tr>
      <w:tr w:rsidR="00BD4348" w:rsidRPr="00BD4348" w:rsidTr="00EB1068">
        <w:trPr>
          <w:trHeight w:val="325"/>
        </w:trPr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>32%</w:t>
            </w:r>
          </w:p>
        </w:tc>
      </w:tr>
      <w:tr w:rsidR="00BD4348" w:rsidRPr="00BD4348" w:rsidTr="00EB1068">
        <w:trPr>
          <w:trHeight w:val="325"/>
        </w:trPr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</w:tr>
      <w:tr w:rsidR="00BD4348" w:rsidRPr="00BD4348" w:rsidTr="00EB1068">
        <w:trPr>
          <w:trHeight w:val="325"/>
        </w:trPr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3250" w:type="dxa"/>
            <w:hideMark/>
          </w:tcPr>
          <w:p w:rsidR="008B505A" w:rsidRPr="00BD4348" w:rsidRDefault="00BD4348" w:rsidP="00EB106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4348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</w:tbl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</w:p>
    <w:p w:rsidR="00BD4348" w:rsidRPr="00BD4348" w:rsidRDefault="00BD4348" w:rsidP="00BD43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348" w:rsidRPr="00BD4348" w:rsidRDefault="00BD4348" w:rsidP="00BD43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348">
        <w:rPr>
          <w:rFonts w:ascii="Times New Roman" w:hAnsi="Times New Roman" w:cs="Times New Roman"/>
          <w:b/>
          <w:sz w:val="28"/>
          <w:szCs w:val="28"/>
        </w:rPr>
        <w:t>Сравнительный анализ за 2 года</w:t>
      </w:r>
    </w:p>
    <w:p w:rsidR="00BD4348" w:rsidRDefault="00BD4348" w:rsidP="00BD4348">
      <w:pPr>
        <w:pStyle w:val="a4"/>
        <w:jc w:val="both"/>
      </w:pPr>
    </w:p>
    <w:p w:rsidR="00BD4348" w:rsidRDefault="00BD4348" w:rsidP="00BD4348">
      <w:pPr>
        <w:pStyle w:val="a4"/>
        <w:jc w:val="both"/>
      </w:pPr>
      <w:r>
        <w:rPr>
          <w:noProof/>
          <w:lang w:eastAsia="ru-RU"/>
        </w:rPr>
        <w:drawing>
          <wp:inline distT="0" distB="0" distL="0" distR="0" wp14:anchorId="6983DBA1" wp14:editId="028D8FA0">
            <wp:extent cx="4730062" cy="23631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497" cy="2367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4348" w:rsidRPr="00BD4348" w:rsidRDefault="00BD4348" w:rsidP="00BD43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348">
        <w:rPr>
          <w:rFonts w:ascii="Times New Roman" w:hAnsi="Times New Roman" w:cs="Times New Roman"/>
          <w:b/>
          <w:sz w:val="28"/>
          <w:szCs w:val="28"/>
        </w:rPr>
        <w:t>Процент выполнения по темам</w:t>
      </w:r>
    </w:p>
    <w:p w:rsid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 xml:space="preserve">Действия с </w:t>
      </w:r>
      <w:proofErr w:type="spellStart"/>
      <w:r w:rsidRPr="00BD4348">
        <w:rPr>
          <w:rFonts w:ascii="Times New Roman" w:hAnsi="Times New Roman" w:cs="Times New Roman"/>
          <w:sz w:val="28"/>
          <w:szCs w:val="28"/>
        </w:rPr>
        <w:t>рац</w:t>
      </w:r>
      <w:proofErr w:type="spellEnd"/>
      <w:r w:rsidRPr="00BD4348">
        <w:rPr>
          <w:rFonts w:ascii="Times New Roman" w:hAnsi="Times New Roman" w:cs="Times New Roman"/>
          <w:sz w:val="28"/>
          <w:szCs w:val="28"/>
        </w:rPr>
        <w:t xml:space="preserve"> числами                 (№1)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>82%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Квадратный корень                  (№2-№4)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>76%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Квадратное уравнение               (№5)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>79%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График функции               (№7, №13)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>52%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Неравенства (УМК Калягина)   (№6)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>70%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Система уравнений (УМК Калягина)  (№12)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>25%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 xml:space="preserve">Степень с отрицательным показателем (УМК </w:t>
      </w:r>
      <w:proofErr w:type="gramStart"/>
      <w:r w:rsidRPr="00BD4348">
        <w:rPr>
          <w:rFonts w:ascii="Times New Roman" w:hAnsi="Times New Roman" w:cs="Times New Roman"/>
          <w:sz w:val="28"/>
          <w:szCs w:val="28"/>
        </w:rPr>
        <w:t>М-М</w:t>
      </w:r>
      <w:proofErr w:type="gramEnd"/>
      <w:r w:rsidRPr="00BD4348">
        <w:rPr>
          <w:rFonts w:ascii="Times New Roman" w:hAnsi="Times New Roman" w:cs="Times New Roman"/>
          <w:sz w:val="28"/>
          <w:szCs w:val="28"/>
        </w:rPr>
        <w:t>)  (№6)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4348">
        <w:rPr>
          <w:rFonts w:ascii="Times New Roman" w:hAnsi="Times New Roman" w:cs="Times New Roman"/>
          <w:sz w:val="28"/>
          <w:szCs w:val="28"/>
        </w:rPr>
        <w:t>61%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 xml:space="preserve">Алгебраические дроби (УМК </w:t>
      </w:r>
      <w:proofErr w:type="gramStart"/>
      <w:r w:rsidRPr="00BD4348">
        <w:rPr>
          <w:rFonts w:ascii="Times New Roman" w:hAnsi="Times New Roman" w:cs="Times New Roman"/>
          <w:sz w:val="28"/>
          <w:szCs w:val="28"/>
        </w:rPr>
        <w:t>М-М</w:t>
      </w:r>
      <w:proofErr w:type="gramEnd"/>
      <w:r w:rsidRPr="00BD4348">
        <w:rPr>
          <w:rFonts w:ascii="Times New Roman" w:hAnsi="Times New Roman" w:cs="Times New Roman"/>
          <w:sz w:val="28"/>
          <w:szCs w:val="28"/>
        </w:rPr>
        <w:t>)       (№12)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D4348">
        <w:rPr>
          <w:rFonts w:ascii="Times New Roman" w:hAnsi="Times New Roman" w:cs="Times New Roman"/>
          <w:sz w:val="28"/>
          <w:szCs w:val="28"/>
        </w:rPr>
        <w:tab/>
        <w:t>46%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Подобие треугольников           (№11)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>59%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Площади                                 (№9, №15)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>39%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Теорема Пифагора              (№8, №9)</w:t>
      </w:r>
      <w:r w:rsidRPr="00BD43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>56%</w:t>
      </w:r>
    </w:p>
    <w:p w:rsidR="00BD4348" w:rsidRP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Свойства ромба                      (№14)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ab/>
        <w:t>14%</w:t>
      </w:r>
    </w:p>
    <w:p w:rsid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D4348">
        <w:rPr>
          <w:rFonts w:ascii="Times New Roman" w:hAnsi="Times New Roman" w:cs="Times New Roman"/>
          <w:sz w:val="28"/>
          <w:szCs w:val="28"/>
        </w:rPr>
        <w:t>Верные утверждения                        (№10)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D4348">
        <w:rPr>
          <w:rFonts w:ascii="Times New Roman" w:hAnsi="Times New Roman" w:cs="Times New Roman"/>
          <w:sz w:val="28"/>
          <w:szCs w:val="28"/>
        </w:rPr>
        <w:tab/>
        <w:t>58%</w:t>
      </w:r>
    </w:p>
    <w:p w:rsid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D4348" w:rsidRDefault="00BD434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D4348" w:rsidRDefault="00BD4348" w:rsidP="00EB106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D434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BCBA254" wp14:editId="1E1F22A6">
            <wp:extent cx="5902036" cy="2671948"/>
            <wp:effectExtent l="0" t="0" r="22860" b="1460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24AED" w:rsidRDefault="00D24AED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AED" w:rsidRDefault="00282CD2" w:rsidP="00282C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CD2">
        <w:rPr>
          <w:rFonts w:ascii="Times New Roman" w:hAnsi="Times New Roman" w:cs="Times New Roman"/>
          <w:b/>
          <w:sz w:val="28"/>
          <w:szCs w:val="28"/>
        </w:rPr>
        <w:t>Процент выполнения по заданиям</w:t>
      </w:r>
    </w:p>
    <w:p w:rsidR="00990B84" w:rsidRDefault="00990B84" w:rsidP="00282C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120" w:type="dxa"/>
        <w:tblInd w:w="93" w:type="dxa"/>
        <w:tblLook w:val="04A0" w:firstRow="1" w:lastRow="0" w:firstColumn="1" w:lastColumn="0" w:noHBand="0" w:noVBand="1"/>
      </w:tblPr>
      <w:tblGrid>
        <w:gridCol w:w="1716"/>
        <w:gridCol w:w="576"/>
        <w:gridCol w:w="576"/>
        <w:gridCol w:w="576"/>
        <w:gridCol w:w="581"/>
        <w:gridCol w:w="576"/>
        <w:gridCol w:w="576"/>
        <w:gridCol w:w="595"/>
        <w:gridCol w:w="576"/>
        <w:gridCol w:w="581"/>
        <w:gridCol w:w="685"/>
        <w:gridCol w:w="685"/>
        <w:gridCol w:w="685"/>
        <w:gridCol w:w="685"/>
        <w:gridCol w:w="742"/>
        <w:gridCol w:w="709"/>
      </w:tblGrid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  <w:tl2br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B84" w:rsidRPr="00EB1068" w:rsidRDefault="00EB1068" w:rsidP="00EB1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№15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Аксентисская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Бриляковская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Зарубинская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Зиняковская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Ильинская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Ковригинская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Краснораменская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Православная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Серковская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Смольковская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Строчковская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Тимерязевская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1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Федуринская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90B84" w:rsidRPr="00EB1068" w:rsidTr="00EB1068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068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Средний </w:t>
            </w:r>
          </w:p>
          <w:p w:rsidR="00990B84" w:rsidRPr="00EB1068" w:rsidRDefault="00990B84" w:rsidP="00990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району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B84" w:rsidRPr="00EB1068" w:rsidRDefault="00990B84" w:rsidP="00990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</w:tbl>
    <w:p w:rsidR="00D24AED" w:rsidRPr="00282CD2" w:rsidRDefault="00282CD2" w:rsidP="00EB106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CD2">
        <w:rPr>
          <w:rFonts w:ascii="Times New Roman" w:hAnsi="Times New Roman" w:cs="Times New Roman"/>
          <w:b/>
          <w:sz w:val="28"/>
          <w:szCs w:val="28"/>
        </w:rPr>
        <w:t>Качество знаний</w:t>
      </w:r>
    </w:p>
    <w:p w:rsidR="00282CD2" w:rsidRDefault="00282CD2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процент по району 39,3.</w:t>
      </w:r>
    </w:p>
    <w:p w:rsidR="00282CD2" w:rsidRDefault="00282CD2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82CD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88C4718" wp14:editId="48902FE2">
            <wp:extent cx="5937662" cy="2695699"/>
            <wp:effectExtent l="0" t="0" r="2540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82CD2" w:rsidRDefault="00282CD2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1068" w:rsidRDefault="00EB106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07F30" w:rsidRDefault="00407F30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обученности по району 85%.</w:t>
      </w:r>
    </w:p>
    <w:p w:rsidR="00EB1068" w:rsidRDefault="00EB106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07F30" w:rsidRDefault="00FA1FF2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A1FF2"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9D042" wp14:editId="6807680A">
                <wp:simplePos x="0" y="0"/>
                <wp:positionH relativeFrom="column">
                  <wp:posOffset>376525</wp:posOffset>
                </wp:positionH>
                <wp:positionV relativeFrom="paragraph">
                  <wp:posOffset>542733</wp:posOffset>
                </wp:positionV>
                <wp:extent cx="5699052" cy="0"/>
                <wp:effectExtent l="0" t="19050" r="16510" b="19050"/>
                <wp:wrapNone/>
                <wp:docPr id="8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9052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.65pt,42.75pt" to="478.4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" strokecolor="red" strokeweight="2.25pt"/>
            </w:pict>
          </mc:Fallback>
        </mc:AlternateContent>
      </w:r>
      <w:r w:rsidRPr="00FA1FF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F2F2F54" wp14:editId="5037B8B4">
            <wp:extent cx="6147227" cy="4203166"/>
            <wp:effectExtent l="0" t="0" r="25400" b="2603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D647C" w:rsidRDefault="001D647C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1068" w:rsidRDefault="00EB106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1068" w:rsidRDefault="00EB106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1068" w:rsidRDefault="00EB106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1068" w:rsidRDefault="00EB106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1068" w:rsidRDefault="00EB106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D647C" w:rsidRDefault="001D647C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ошибки</w:t>
      </w:r>
    </w:p>
    <w:p w:rsidR="001D647C" w:rsidRDefault="001D647C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D647C" w:rsidRDefault="001D647C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B5AFBB" wp14:editId="49234058">
            <wp:extent cx="6071191" cy="3242930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233" cy="32493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647C" w:rsidRDefault="001D647C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1068" w:rsidRDefault="00EB1068" w:rsidP="00BD43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1068" w:rsidRPr="00BD4348" w:rsidRDefault="00EB1068" w:rsidP="00EB106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Составила: Логинова Т.В.</w:t>
      </w:r>
    </w:p>
    <w:sectPr w:rsidR="00EB1068" w:rsidRPr="00BD4348" w:rsidSect="00EB106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48"/>
    <w:rsid w:val="001D647C"/>
    <w:rsid w:val="00282CD2"/>
    <w:rsid w:val="00407F30"/>
    <w:rsid w:val="00497342"/>
    <w:rsid w:val="008B505A"/>
    <w:rsid w:val="00990B84"/>
    <w:rsid w:val="00BD4348"/>
    <w:rsid w:val="00D24AED"/>
    <w:rsid w:val="00EB1068"/>
    <w:rsid w:val="00FA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43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D4348"/>
    <w:pPr>
      <w:spacing w:after="0" w:line="240" w:lineRule="auto"/>
    </w:pPr>
  </w:style>
  <w:style w:type="table" w:styleId="a5">
    <w:name w:val="Table Grid"/>
    <w:basedOn w:val="a1"/>
    <w:uiPriority w:val="59"/>
    <w:rsid w:val="00BD4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D4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43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43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D4348"/>
    <w:pPr>
      <w:spacing w:after="0" w:line="240" w:lineRule="auto"/>
    </w:pPr>
  </w:style>
  <w:style w:type="table" w:styleId="a5">
    <w:name w:val="Table Grid"/>
    <w:basedOn w:val="a1"/>
    <w:uiPriority w:val="59"/>
    <w:rsid w:val="00BD4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D4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43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5;&#1086;&#1089;&#1083;&#1077;&#1076;&#1085;&#1077;&#1077;\&#1044;&#1080;&#1072;&#1075;&#1085;&#1086;&#1089;&#1090;&#1080;&#1082;&#1072;%208%20&#1082;&#1083;&#1072;&#1089;&#1089;%202018\&#1040;&#1085;&#1072;&#1083;&#1080;&#1079;%20&#1087;&#1086;%20&#1090;&#1077;&#1084;&#1072;&#1084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Users\User\Desktop\&#1055;&#1086;&#1089;&#1083;&#1077;&#1076;&#1085;&#1077;&#1077;\&#1044;&#1080;&#1072;&#1075;&#1085;&#1086;&#1089;&#1090;&#1080;&#1082;&#1072;%208%20&#1082;&#1083;&#1072;&#1089;&#1089;%202018\&#1050;&#1085;&#1080;&#1075;&#1072;1.xlsx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5;&#1086;&#1089;&#1083;&#1077;&#1076;&#1085;&#1077;&#1077;\&#1044;&#1080;&#1072;&#1075;&#1085;&#1086;&#1089;&#1090;&#1080;&#1082;&#1072;%208%20&#1082;&#1083;&#1072;&#1089;&#1089;%202018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Лист1!$A$2:$A$14</c:f>
              <c:strCache>
                <c:ptCount val="13"/>
                <c:pt idx="0">
                  <c:v>Действия с рациональными  числами</c:v>
                </c:pt>
                <c:pt idx="1">
                  <c:v>Арифметический квадратный корень</c:v>
                </c:pt>
                <c:pt idx="2">
                  <c:v>Квадратное уравнение</c:v>
                </c:pt>
                <c:pt idx="3">
                  <c:v>График функции</c:v>
                </c:pt>
                <c:pt idx="4">
                  <c:v>Неравенства (УМК Калягина)</c:v>
                </c:pt>
                <c:pt idx="5">
                  <c:v>Система уравнений (УМК Калягина)</c:v>
                </c:pt>
                <c:pt idx="6">
                  <c:v>Степень с отрицательным показателем (УМК М-М)</c:v>
                </c:pt>
                <c:pt idx="7">
                  <c:v>Алгебраические дроби (УМК М-М)</c:v>
                </c:pt>
                <c:pt idx="8">
                  <c:v>Подобие треугольников</c:v>
                </c:pt>
                <c:pt idx="9">
                  <c:v>Площади</c:v>
                </c:pt>
                <c:pt idx="10">
                  <c:v>Теорема Пифагора</c:v>
                </c:pt>
                <c:pt idx="11">
                  <c:v>Свойства ромба</c:v>
                </c:pt>
                <c:pt idx="12">
                  <c:v>Верные утверждения</c:v>
                </c:pt>
              </c:strCache>
            </c:strRef>
          </c:cat>
          <c:val>
            <c:numRef>
              <c:f>Лист1!$B$2:$B$14</c:f>
              <c:numCache>
                <c:formatCode>0%</c:formatCode>
                <c:ptCount val="13"/>
                <c:pt idx="0">
                  <c:v>0.82</c:v>
                </c:pt>
                <c:pt idx="1">
                  <c:v>0.76</c:v>
                </c:pt>
                <c:pt idx="2">
                  <c:v>0.79</c:v>
                </c:pt>
                <c:pt idx="3">
                  <c:v>0.52</c:v>
                </c:pt>
                <c:pt idx="4">
                  <c:v>0.7</c:v>
                </c:pt>
                <c:pt idx="5">
                  <c:v>0.25</c:v>
                </c:pt>
                <c:pt idx="6">
                  <c:v>0.61</c:v>
                </c:pt>
                <c:pt idx="7">
                  <c:v>0.46</c:v>
                </c:pt>
                <c:pt idx="8">
                  <c:v>0.59</c:v>
                </c:pt>
                <c:pt idx="9">
                  <c:v>0.39</c:v>
                </c:pt>
                <c:pt idx="10">
                  <c:v>0.56000000000000005</c:v>
                </c:pt>
                <c:pt idx="11" formatCode="0.00%">
                  <c:v>0.14000000000000001</c:v>
                </c:pt>
                <c:pt idx="12">
                  <c:v>0.57999999999999996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354368"/>
        <c:axId val="220007232"/>
      </c:barChart>
      <c:catAx>
        <c:axId val="135354368"/>
        <c:scaling>
          <c:orientation val="minMax"/>
        </c:scaling>
        <c:delete val="0"/>
        <c:axPos val="b"/>
        <c:majorTickMark val="out"/>
        <c:minorTickMark val="none"/>
        <c:tickLblPos val="nextTo"/>
        <c:crossAx val="220007232"/>
        <c:crosses val="autoZero"/>
        <c:auto val="1"/>
        <c:lblAlgn val="ctr"/>
        <c:lblOffset val="100"/>
        <c:noMultiLvlLbl val="0"/>
      </c:catAx>
      <c:valAx>
        <c:axId val="22000723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5354368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6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4.4352453850369643E-2"/>
          <c:y val="2.9226022979204631E-2"/>
          <c:w val="0.94616717561850061"/>
          <c:h val="0.77304428861138152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2">
                <a:lumMod val="50000"/>
              </a:schemeClr>
            </a:solidFill>
          </c:spPr>
          <c:invertIfNegative val="0"/>
          <c:cat>
            <c:strRef>
              <c:f>Лист17!$A$2:$A$28</c:f>
              <c:strCache>
                <c:ptCount val="27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№7</c:v>
                </c:pt>
                <c:pt idx="6">
                  <c:v>№8</c:v>
                </c:pt>
                <c:pt idx="7">
                  <c:v>№12</c:v>
                </c:pt>
                <c:pt idx="8">
                  <c:v>№13</c:v>
                </c:pt>
                <c:pt idx="9">
                  <c:v>№15</c:v>
                </c:pt>
                <c:pt idx="10">
                  <c:v>№16</c:v>
                </c:pt>
                <c:pt idx="11">
                  <c:v>№17</c:v>
                </c:pt>
                <c:pt idx="12">
                  <c:v>№18</c:v>
                </c:pt>
                <c:pt idx="13">
                  <c:v>№19</c:v>
                </c:pt>
                <c:pt idx="14">
                  <c:v>Аксентисская</c:v>
                </c:pt>
                <c:pt idx="15">
                  <c:v>Бриляковская</c:v>
                </c:pt>
                <c:pt idx="16">
                  <c:v>Зарубинская</c:v>
                </c:pt>
                <c:pt idx="17">
                  <c:v>Зиняковская</c:v>
                </c:pt>
                <c:pt idx="18">
                  <c:v>Ильинская</c:v>
                </c:pt>
                <c:pt idx="19">
                  <c:v>Ковригинская</c:v>
                </c:pt>
                <c:pt idx="20">
                  <c:v>Краснораменская</c:v>
                </c:pt>
                <c:pt idx="21">
                  <c:v>Православная</c:v>
                </c:pt>
                <c:pt idx="22">
                  <c:v>Серковская</c:v>
                </c:pt>
                <c:pt idx="23">
                  <c:v>Смольковская</c:v>
                </c:pt>
                <c:pt idx="24">
                  <c:v>Строчковская</c:v>
                </c:pt>
                <c:pt idx="25">
                  <c:v>Тимерязевская</c:v>
                </c:pt>
                <c:pt idx="26">
                  <c:v>Федуринская</c:v>
                </c:pt>
              </c:strCache>
            </c:strRef>
          </c:cat>
          <c:val>
            <c:numRef>
              <c:f>Лист17!$B$2:$B$28</c:f>
              <c:numCache>
                <c:formatCode>General</c:formatCode>
                <c:ptCount val="27"/>
                <c:pt idx="0">
                  <c:v>26.5</c:v>
                </c:pt>
                <c:pt idx="1">
                  <c:v>42</c:v>
                </c:pt>
                <c:pt idx="2">
                  <c:v>50</c:v>
                </c:pt>
                <c:pt idx="3">
                  <c:v>64</c:v>
                </c:pt>
                <c:pt idx="4">
                  <c:v>53</c:v>
                </c:pt>
                <c:pt idx="5">
                  <c:v>35</c:v>
                </c:pt>
                <c:pt idx="6">
                  <c:v>26</c:v>
                </c:pt>
                <c:pt idx="7">
                  <c:v>32</c:v>
                </c:pt>
                <c:pt idx="8">
                  <c:v>40</c:v>
                </c:pt>
                <c:pt idx="9">
                  <c:v>34</c:v>
                </c:pt>
                <c:pt idx="10">
                  <c:v>14</c:v>
                </c:pt>
                <c:pt idx="11">
                  <c:v>36</c:v>
                </c:pt>
                <c:pt idx="12">
                  <c:v>50</c:v>
                </c:pt>
                <c:pt idx="13">
                  <c:v>61</c:v>
                </c:pt>
                <c:pt idx="14">
                  <c:v>57</c:v>
                </c:pt>
                <c:pt idx="15">
                  <c:v>40</c:v>
                </c:pt>
                <c:pt idx="16">
                  <c:v>75</c:v>
                </c:pt>
                <c:pt idx="17">
                  <c:v>25</c:v>
                </c:pt>
                <c:pt idx="18">
                  <c:v>11</c:v>
                </c:pt>
                <c:pt idx="19">
                  <c:v>56</c:v>
                </c:pt>
                <c:pt idx="20">
                  <c:v>33</c:v>
                </c:pt>
                <c:pt idx="21">
                  <c:v>43</c:v>
                </c:pt>
                <c:pt idx="22">
                  <c:v>53</c:v>
                </c:pt>
                <c:pt idx="23">
                  <c:v>15</c:v>
                </c:pt>
                <c:pt idx="24">
                  <c:v>35.5</c:v>
                </c:pt>
                <c:pt idx="25">
                  <c:v>26.3</c:v>
                </c:pt>
                <c:pt idx="26">
                  <c:v>28.6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1229824"/>
        <c:axId val="220004352"/>
      </c:barChart>
      <c:catAx>
        <c:axId val="161229824"/>
        <c:scaling>
          <c:orientation val="minMax"/>
        </c:scaling>
        <c:delete val="0"/>
        <c:axPos val="b"/>
        <c:majorTickMark val="out"/>
        <c:minorTickMark val="none"/>
        <c:tickLblPos val="nextTo"/>
        <c:crossAx val="220004352"/>
        <c:crosses val="autoZero"/>
        <c:auto val="1"/>
        <c:lblAlgn val="ctr"/>
        <c:lblOffset val="100"/>
        <c:noMultiLvlLbl val="0"/>
      </c:catAx>
      <c:valAx>
        <c:axId val="220004352"/>
        <c:scaling>
          <c:orientation val="minMax"/>
        </c:scaling>
        <c:delete val="0"/>
        <c:axPos val="l"/>
        <c:minorGridlines/>
        <c:numFmt formatCode="General" sourceLinked="1"/>
        <c:majorTickMark val="out"/>
        <c:minorTickMark val="none"/>
        <c:tickLblPos val="nextTo"/>
        <c:crossAx val="16122982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000"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bg2">
                <a:lumMod val="50000"/>
              </a:schemeClr>
            </a:solidFill>
          </c:spPr>
          <c:invertIfNegative val="0"/>
          <c:cat>
            <c:strRef>
              <c:f>Лист18!$A$2:$A$28</c:f>
              <c:strCache>
                <c:ptCount val="27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№7</c:v>
                </c:pt>
                <c:pt idx="6">
                  <c:v>№8</c:v>
                </c:pt>
                <c:pt idx="7">
                  <c:v>№12</c:v>
                </c:pt>
                <c:pt idx="8">
                  <c:v>№13</c:v>
                </c:pt>
                <c:pt idx="9">
                  <c:v>№15</c:v>
                </c:pt>
                <c:pt idx="10">
                  <c:v>№16</c:v>
                </c:pt>
                <c:pt idx="11">
                  <c:v>№17</c:v>
                </c:pt>
                <c:pt idx="12">
                  <c:v>№18</c:v>
                </c:pt>
                <c:pt idx="13">
                  <c:v>№19</c:v>
                </c:pt>
                <c:pt idx="14">
                  <c:v>Аксентисская</c:v>
                </c:pt>
                <c:pt idx="15">
                  <c:v>Бриляковская</c:v>
                </c:pt>
                <c:pt idx="16">
                  <c:v>Зарубинская</c:v>
                </c:pt>
                <c:pt idx="17">
                  <c:v>Зиняковская</c:v>
                </c:pt>
                <c:pt idx="18">
                  <c:v>Ильинская</c:v>
                </c:pt>
                <c:pt idx="19">
                  <c:v>Ковригинская</c:v>
                </c:pt>
                <c:pt idx="20">
                  <c:v>Краснораменская</c:v>
                </c:pt>
                <c:pt idx="21">
                  <c:v>Православная</c:v>
                </c:pt>
                <c:pt idx="22">
                  <c:v>Серковская</c:v>
                </c:pt>
                <c:pt idx="23">
                  <c:v>Смольковская</c:v>
                </c:pt>
                <c:pt idx="24">
                  <c:v>Строчковская</c:v>
                </c:pt>
                <c:pt idx="25">
                  <c:v>Тимерязевская</c:v>
                </c:pt>
                <c:pt idx="26">
                  <c:v>Федуринская</c:v>
                </c:pt>
              </c:strCache>
            </c:strRef>
          </c:cat>
          <c:val>
            <c:numRef>
              <c:f>Лист18!$B$2:$B$28</c:f>
              <c:numCache>
                <c:formatCode>General</c:formatCode>
                <c:ptCount val="27"/>
                <c:pt idx="0">
                  <c:v>73.5</c:v>
                </c:pt>
                <c:pt idx="1">
                  <c:v>92</c:v>
                </c:pt>
                <c:pt idx="2">
                  <c:v>86</c:v>
                </c:pt>
                <c:pt idx="3">
                  <c:v>98</c:v>
                </c:pt>
                <c:pt idx="4">
                  <c:v>78</c:v>
                </c:pt>
                <c:pt idx="5">
                  <c:v>77</c:v>
                </c:pt>
                <c:pt idx="6">
                  <c:v>85</c:v>
                </c:pt>
                <c:pt idx="7">
                  <c:v>79</c:v>
                </c:pt>
                <c:pt idx="8">
                  <c:v>90</c:v>
                </c:pt>
                <c:pt idx="9">
                  <c:v>82</c:v>
                </c:pt>
                <c:pt idx="10">
                  <c:v>71</c:v>
                </c:pt>
                <c:pt idx="11">
                  <c:v>89</c:v>
                </c:pt>
                <c:pt idx="12">
                  <c:v>90</c:v>
                </c:pt>
                <c:pt idx="13">
                  <c:v>99</c:v>
                </c:pt>
                <c:pt idx="14">
                  <c:v>86</c:v>
                </c:pt>
                <c:pt idx="15">
                  <c:v>60</c:v>
                </c:pt>
                <c:pt idx="16">
                  <c:v>100</c:v>
                </c:pt>
                <c:pt idx="17">
                  <c:v>100</c:v>
                </c:pt>
                <c:pt idx="18">
                  <c:v>89</c:v>
                </c:pt>
                <c:pt idx="19">
                  <c:v>69</c:v>
                </c:pt>
                <c:pt idx="20">
                  <c:v>100</c:v>
                </c:pt>
                <c:pt idx="21">
                  <c:v>86</c:v>
                </c:pt>
                <c:pt idx="22">
                  <c:v>66</c:v>
                </c:pt>
                <c:pt idx="23">
                  <c:v>77</c:v>
                </c:pt>
                <c:pt idx="24">
                  <c:v>88.5</c:v>
                </c:pt>
                <c:pt idx="25">
                  <c:v>100</c:v>
                </c:pt>
                <c:pt idx="26">
                  <c:v>85.7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5355904"/>
        <c:axId val="220004928"/>
      </c:barChart>
      <c:catAx>
        <c:axId val="135355904"/>
        <c:scaling>
          <c:orientation val="minMax"/>
        </c:scaling>
        <c:delete val="0"/>
        <c:axPos val="b"/>
        <c:majorTickMark val="out"/>
        <c:minorTickMark val="none"/>
        <c:tickLblPos val="nextTo"/>
        <c:crossAx val="220004928"/>
        <c:crosses val="autoZero"/>
        <c:auto val="1"/>
        <c:lblAlgn val="ctr"/>
        <c:lblOffset val="100"/>
        <c:noMultiLvlLbl val="0"/>
      </c:catAx>
      <c:valAx>
        <c:axId val="220004928"/>
        <c:scaling>
          <c:orientation val="minMax"/>
          <c:max val="100"/>
        </c:scaling>
        <c:delete val="0"/>
        <c:axPos val="l"/>
        <c:minorGridlines/>
        <c:numFmt formatCode="General" sourceLinked="1"/>
        <c:majorTickMark val="out"/>
        <c:minorTickMark val="none"/>
        <c:tickLblPos val="nextTo"/>
        <c:crossAx val="135355904"/>
        <c:crosses val="autoZero"/>
        <c:crossBetween val="between"/>
        <c:majorUnit val="10"/>
        <c:minorUnit val="5"/>
      </c:valAx>
    </c:plotArea>
    <c:plotVisOnly val="1"/>
    <c:dispBlanksAs val="gap"/>
    <c:showDLblsOverMax val="0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0.03624</cdr:x>
      <cdr:y>0.34207</cdr:y>
    </cdr:from>
    <cdr:to>
      <cdr:x>0.99395</cdr:x>
      <cdr:y>0.34492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 flipV="1">
          <a:off x="215153" y="922084"/>
          <a:ext cx="5686185" cy="7684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2018-05-06T04:43:00Z</dcterms:created>
  <dcterms:modified xsi:type="dcterms:W3CDTF">2018-05-06T07:59:00Z</dcterms:modified>
</cp:coreProperties>
</file>